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CD" w:rsidRPr="00955658" w:rsidRDefault="00F136CD" w:rsidP="00F136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5658">
        <w:rPr>
          <w:rFonts w:ascii="Arial" w:hAnsi="Arial" w:cs="Arial"/>
          <w:b/>
          <w:sz w:val="24"/>
          <w:szCs w:val="24"/>
        </w:rPr>
        <w:t>Studia Prawnicze</w:t>
      </w:r>
    </w:p>
    <w:p w:rsidR="00F136CD" w:rsidRDefault="00F136CD" w:rsidP="00F136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36CD" w:rsidRPr="005B377B" w:rsidRDefault="00F136CD" w:rsidP="00F136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377B">
        <w:rPr>
          <w:rFonts w:ascii="Arial" w:hAnsi="Arial" w:cs="Arial"/>
          <w:b/>
          <w:sz w:val="24"/>
          <w:szCs w:val="24"/>
          <w:u w:val="single"/>
        </w:rPr>
        <w:t>ZESZYT 1/2013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dr Marcin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Asłanowicz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Warszawa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Arbitraż krajowy na tle standardów międzynarodowych 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mgr Monika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Bareła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Warszawski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Sądowa kontrola postępowania arbitrażowego z perspektywy doświadczeń międzynarodowych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Milena J. Sokołowska-Walewska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 Białymstoku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Zakaz handlu ludźmi z perspektywy systemu ochrony praw człowieka 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dr Magdalena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Wilejczyk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Ekonomiczny we Wrocławiu</w:t>
      </w:r>
    </w:p>
    <w:p w:rsidR="00F136CD" w:rsidRPr="008137F7" w:rsidRDefault="00F136CD" w:rsidP="00F136CD">
      <w:pPr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Cywilnoprawne znaczenie przebaczenia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DE0949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E0949">
        <w:rPr>
          <w:rFonts w:ascii="Arial" w:hAnsi="Arial" w:cs="Arial"/>
          <w:b/>
          <w:bCs/>
          <w:iCs/>
          <w:sz w:val="24"/>
          <w:szCs w:val="24"/>
        </w:rPr>
        <w:t>dr Jakub M. Łukasiewicz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Rzeszowski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Pytanie o zasadność </w:t>
      </w:r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causa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wspólnoty życiowej przy czynnościach przysparzających pomiędzy konkubentami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Joanna Dominowska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Szkoła Głowna Handlowa w Warszawie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Prawne aspekty prowadzenia działalności gospodarczej przez fundacje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Elżbieta Hryniewicz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im. A. Mickiewicza, Poznań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Delegacja obowiązków a odpowiedzialność karna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</w:p>
    <w:p w:rsidR="00F136CD" w:rsidRPr="00DE0949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b/>
          <w:sz w:val="24"/>
          <w:szCs w:val="24"/>
        </w:rPr>
      </w:pPr>
      <w:r w:rsidRPr="00DE0949">
        <w:rPr>
          <w:rFonts w:ascii="Arial" w:eastAsia="EuniceEFN" w:hAnsi="Arial" w:cs="Arial"/>
          <w:b/>
          <w:sz w:val="24"/>
          <w:szCs w:val="24"/>
        </w:rPr>
        <w:t xml:space="preserve">dr Anna </w:t>
      </w:r>
      <w:proofErr w:type="spellStart"/>
      <w:r w:rsidRPr="00DE0949">
        <w:rPr>
          <w:rFonts w:ascii="Arial" w:eastAsia="EuniceEFN" w:hAnsi="Arial" w:cs="Arial"/>
          <w:b/>
          <w:sz w:val="24"/>
          <w:szCs w:val="24"/>
        </w:rPr>
        <w:t>Błachnio</w:t>
      </w:r>
      <w:proofErr w:type="spellEnd"/>
      <w:r w:rsidRPr="00DE0949">
        <w:rPr>
          <w:rFonts w:ascii="Arial" w:eastAsia="EuniceEFN" w:hAnsi="Arial" w:cs="Arial"/>
          <w:b/>
          <w:sz w:val="24"/>
          <w:szCs w:val="24"/>
        </w:rPr>
        <w:t>-Parzych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PAN, Warszawa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Sankcja karna a sankcja administracyjna jako środek przeciwdziałania manipulacji instrumentami finansowymi w wybranych krajach europejskich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>
        <w:rPr>
          <w:rFonts w:ascii="Arial" w:eastAsia="EuniceEFN-Bold" w:hAnsi="Arial" w:cs="Arial"/>
          <w:b/>
          <w:bCs/>
          <w:sz w:val="24"/>
          <w:szCs w:val="24"/>
          <w:u w:val="single"/>
        </w:rPr>
        <w:t xml:space="preserve">ZESZYT </w:t>
      </w: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2/2013</w:t>
      </w:r>
    </w:p>
    <w:p w:rsidR="00F136CD" w:rsidRPr="005B377B" w:rsidRDefault="00F136CD" w:rsidP="00F136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Katarzyna Sękowska-Kozłowska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Poznańskie Centrum Praw Człowieka INP PAN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Międzynarodowy mechanizm kontrolny 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>K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onwencji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o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prawach osób niepełnosprawnych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Anna Śledzińska-Simon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Wrocławski</w:t>
      </w: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Obowiązek dokonania racjonalnych usprawnień –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u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wagi na tle wyroku </w:t>
      </w:r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TSUE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Jetta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Ring i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Lone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Skouboe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Werge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(c-335/11 i c-337/11)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8137F7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Maciej Domański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Wymiaru Sprawiedliwości</w:t>
      </w: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Zawieranie małżeństw przez osoby z niepełnosprawnością intelektualną i psychiczną w prawie polskim a konwencja ONZ o prawach osób niepełnosprawnych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Paweł Kubicki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Szkoła Głowna Handlowa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>Bariery w edukacji włączającej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Monika Zima-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Parjaszewska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Akademia Pedagogiki Specjalnej im. Marii Grzegorzewskiej w Warszawie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Artykuł 12 </w:t>
      </w:r>
      <w:r>
        <w:rPr>
          <w:rFonts w:ascii="Arial" w:eastAsia="EuniceEFN-Bold" w:hAnsi="Arial" w:cs="Arial"/>
          <w:b/>
          <w:bCs/>
          <w:sz w:val="24"/>
          <w:szCs w:val="24"/>
        </w:rPr>
        <w:t>K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onwencji ONZ o prawach osób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z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 niepełnosprawnościami a ubezwłasnowolnienie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w P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olsce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Lechosław 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Kociucki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</w:t>
      </w: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Niektóre problemy nowelizacji polskiego prawa o ubezwłasnowolnieniu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Karolina Wierczyńska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Dekada działalności Międzynarodowego Trybunału Karnego – sukcesy i porażki międzynarodowego wymiaru sprawiedliwości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Agnieszka Szpak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UMK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>Bronie autonomiczne w świetle międzynarodowego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Prawa humanitarnego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</w:t>
      </w:r>
      <w:r>
        <w:rPr>
          <w:rFonts w:ascii="Arial" w:hAnsi="Arial" w:cs="Arial"/>
          <w:b/>
          <w:bCs/>
          <w:iCs/>
          <w:sz w:val="24"/>
          <w:szCs w:val="24"/>
        </w:rPr>
        <w:t>prof</w:t>
      </w: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Prof</w:t>
      </w:r>
      <w:r w:rsidRPr="00763566">
        <w:rPr>
          <w:rFonts w:ascii="Arial" w:hAnsi="Arial" w:cs="Arial"/>
          <w:b/>
          <w:bCs/>
          <w:iCs/>
          <w:sz w:val="24"/>
          <w:szCs w:val="24"/>
        </w:rPr>
        <w:t>. INP PAN Monika Szwarc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Ograniczenia prawa dostępu do dokumentów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Instytucji unii europejskiej na podstawie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Rozporządzenia 1049/2001 w sprawie publicznego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d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ostępu do dokumentów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ZESZYT 3/2013</w:t>
      </w:r>
    </w:p>
    <w:p w:rsidR="00F136CD" w:rsidRPr="005B377B" w:rsidRDefault="00F136CD" w:rsidP="00F136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</w:p>
    <w:p w:rsidR="00F136CD" w:rsidRPr="00763566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Joanna 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Smarż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Politechnika Warszawska</w:t>
      </w: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Konstytucyjne uwarunkowania tworzenia samorządów zawodowych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>mgr Szymon Zaręba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INP PAN</w:t>
      </w: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Podstawy prawne zbiorowej odmowy uznania państw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n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a forum organizacji uniwersalnych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– studium przypadków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 xml:space="preserve">dr Marcin </w:t>
      </w:r>
      <w:proofErr w:type="spellStart"/>
      <w:r w:rsidRPr="008A0708">
        <w:rPr>
          <w:rFonts w:ascii="Arial" w:hAnsi="Arial" w:cs="Arial"/>
          <w:b/>
          <w:bCs/>
          <w:iCs/>
          <w:sz w:val="24"/>
          <w:szCs w:val="24"/>
        </w:rPr>
        <w:t>Asłanowicz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Warszawa</w:t>
      </w: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Status arbitra w postępowaniu arbitrażowym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 xml:space="preserve">dr Marcin M. </w:t>
      </w:r>
      <w:proofErr w:type="spellStart"/>
      <w:r w:rsidRPr="008A0708">
        <w:rPr>
          <w:rFonts w:ascii="Arial" w:hAnsi="Arial" w:cs="Arial"/>
          <w:b/>
          <w:bCs/>
          <w:iCs/>
          <w:sz w:val="24"/>
          <w:szCs w:val="24"/>
        </w:rPr>
        <w:t>Wiszowaty</w:t>
      </w:r>
      <w:proofErr w:type="spellEnd"/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Gdański</w:t>
      </w: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Stanowe komisje etyki w USA jako przykład organów obywatelskiego audytu etycznego – ustrój, kompetencje, znaczenie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>mgr Joanna Uchańska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Akademia Pedagogiki Specjalnej im. Marii Grzegorzewskiej w Warszawie</w:t>
      </w:r>
    </w:p>
    <w:p w:rsidR="00F136CD" w:rsidRPr="008A070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hAnsi="Arial" w:cs="Arial"/>
          <w:b/>
          <w:bCs/>
          <w:i/>
          <w:iCs/>
          <w:sz w:val="24"/>
          <w:szCs w:val="24"/>
        </w:rPr>
        <w:t>„Wprowadzenie do zasad moralności prawodawstwa”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Jerome Benthama jako przyczynek do dyskusji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o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interesie publicznym i zasadzie proporcjonalności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5B377B" w:rsidRDefault="00F136CD" w:rsidP="00F136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ZESZYT 4/2013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dr Edyta Lis</w:t>
      </w:r>
    </w:p>
    <w:p w:rsidR="00F136CD" w:rsidRPr="00DE0949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DE0949">
        <w:rPr>
          <w:rFonts w:ascii="Arial" w:eastAsia="EuniceEFN" w:hAnsi="Arial" w:cs="Arial"/>
          <w:sz w:val="24"/>
          <w:szCs w:val="24"/>
        </w:rPr>
        <w:t>UMCS Lublin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Środki solidarnościowe w świetle artykułów Komisji prawa międzynarodowego o odpowiedzialności państwa za akty sprzeczne z prawem międzynarodowym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Joanna Mucha-Kujawa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Teoretycznoprawne aspekty przedstawicielstwa podmiotów prywatnych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Anna Urbańska-Łukaszewicz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Zakres uprawnienia małżonka do mieszkania będącego własnością współmałżonka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Joanna Wiak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UMCS w Lublinie</w:t>
      </w:r>
    </w:p>
    <w:p w:rsidR="00F136CD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Pojęcie </w:t>
      </w:r>
      <w:r w:rsidRPr="002F257B">
        <w:rPr>
          <w:rFonts w:ascii="Arial" w:hAnsi="Arial" w:cs="Arial"/>
          <w:b/>
          <w:bCs/>
          <w:i/>
          <w:iCs/>
          <w:sz w:val="24"/>
          <w:szCs w:val="24"/>
        </w:rPr>
        <w:t>joint venture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Bożena Nowak-Chrząszczyk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GACACA – 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„inny” wymiar sprawiedliwości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Paweł Brzozowski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Szczecin</w:t>
      </w:r>
    </w:p>
    <w:p w:rsidR="00F136CD" w:rsidRPr="002F257B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Pozaustawowe kontratypy – zarys problematyki </w:t>
      </w: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36CD" w:rsidRPr="00955658" w:rsidRDefault="00F136CD" w:rsidP="00F13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94097" w:rsidRDefault="00594097"/>
    <w:sectPr w:rsidR="00594097" w:rsidSect="00A7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niceEF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EF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D"/>
    <w:rsid w:val="00594097"/>
    <w:rsid w:val="00A93D88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Mucha</dc:creator>
  <cp:lastModifiedBy>Majka</cp:lastModifiedBy>
  <cp:revision>2</cp:revision>
  <dcterms:created xsi:type="dcterms:W3CDTF">2015-07-16T14:33:00Z</dcterms:created>
  <dcterms:modified xsi:type="dcterms:W3CDTF">2015-07-16T14:33:00Z</dcterms:modified>
</cp:coreProperties>
</file>